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07" w:rsidRDefault="00B31B07" w:rsidP="00B31B07">
      <w:pPr>
        <w:pStyle w:val="1"/>
        <w:jc w:val="right"/>
        <w:rPr>
          <w:rFonts w:ascii="Times New Roman" w:hAnsi="Times New Roman"/>
          <w:sz w:val="24"/>
          <w:szCs w:val="24"/>
        </w:rPr>
      </w:pPr>
      <w:bookmarkStart w:id="0" w:name="_Toc46721577"/>
      <w:r>
        <w:rPr>
          <w:rFonts w:ascii="Times New Roman" w:hAnsi="Times New Roman"/>
          <w:sz w:val="24"/>
          <w:szCs w:val="24"/>
        </w:rPr>
        <w:t>Приложение 2</w:t>
      </w:r>
      <w:bookmarkEnd w:id="0"/>
    </w:p>
    <w:p w:rsidR="00B31B07" w:rsidRDefault="00B31B07" w:rsidP="00B31B07">
      <w:pPr>
        <w:jc w:val="center"/>
        <w:rPr>
          <w:rFonts w:eastAsia="SimSun"/>
          <w:b/>
          <w:bCs/>
          <w:color w:val="000000"/>
          <w:lang w:eastAsia="zh-CN" w:bidi="ar"/>
        </w:rPr>
      </w:pPr>
      <w:r>
        <w:rPr>
          <w:rFonts w:eastAsia="SimSun"/>
          <w:b/>
          <w:bCs/>
          <w:color w:val="000000"/>
          <w:lang w:eastAsia="zh-CN" w:bidi="ar"/>
        </w:rPr>
        <w:t>Форма оценки информированного согласия</w:t>
      </w:r>
    </w:p>
    <w:p w:rsidR="00B31B07" w:rsidRPr="00B31B07" w:rsidRDefault="00B31B07" w:rsidP="00B31B07">
      <w:pPr>
        <w:rPr>
          <w:rFonts w:eastAsia="SimSun"/>
          <w:color w:val="000000"/>
          <w:lang w:eastAsia="zh-CN" w:bidi="ar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586"/>
        <w:gridCol w:w="2693"/>
      </w:tblGrid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Содержание краткой информации для пациента об исследовании 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четкое</w:t>
            </w:r>
            <w:r>
              <w:t xml:space="preserve"> 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нечеткое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Содержание формы информированного согласия 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>четкое</w:t>
            </w:r>
            <w:r w:rsidRPr="00BA7F12">
              <w:rPr>
                <w:lang w:val="ru-RU"/>
              </w:rPr>
              <w:t xml:space="preserve">  </w:t>
            </w:r>
            <w:r w:rsidRPr="00BA7F12">
              <w:rPr>
                <w:lang w:val="ru-RU"/>
              </w:rPr>
              <w:tab/>
            </w:r>
            <w:r w:rsidRPr="00BA7F12">
              <w:rPr>
                <w:lang w:val="ru-RU"/>
              </w:rPr>
              <w:tab/>
            </w:r>
            <w:r>
              <w:sym w:font="Webdings" w:char="F063"/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>нечеткое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Наличие перевода формы информированного согласия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>да</w:t>
            </w:r>
            <w:r w:rsidRPr="00BA7F12">
              <w:rPr>
                <w:lang w:val="ru-RU"/>
              </w:rPr>
              <w:t xml:space="preserve"> </w:t>
            </w:r>
            <w:r w:rsidRPr="00BA7F12">
              <w:rPr>
                <w:lang w:val="ru-RU"/>
              </w:rPr>
              <w:tab/>
            </w:r>
            <w:r w:rsidRPr="00BA7F12">
              <w:rPr>
                <w:lang w:val="ru-RU"/>
              </w:rPr>
              <w:tab/>
            </w:r>
            <w:r>
              <w:sym w:font="Webdings" w:char="F063"/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Стиль изложения информированного согласия</w:t>
            </w:r>
          </w:p>
          <w:p w:rsidR="00B31B07" w:rsidRDefault="00B31B07" w:rsidP="00F94C01">
            <w:pPr>
              <w:pStyle w:val="Level1"/>
              <w:tabs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ясный  </w:t>
            </w:r>
            <w:r>
              <w:rPr>
                <w:lang w:val="ru-RU"/>
              </w:rPr>
              <w:tab/>
              <w:t xml:space="preserve">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неясный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Приватность/Конфиденциальность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spacing w:before="120" w:after="120"/>
              <w:rPr>
                <w:rFonts w:eastAsia="SimSun"/>
                <w:lang w:eastAsia="zh-CN"/>
              </w:rPr>
            </w:pPr>
            <w: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Процедуры получения ИС приемлемые?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Добровольность участия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 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Получение информированного согласия от законного представителя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 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Манипулирование информацией в пользу исследователя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Вероятно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Описание возможных рисков и нежелательных последствиях для пациента в ходе исследования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да</w:t>
            </w:r>
            <w:r>
              <w:t xml:space="preserve"> </w:t>
            </w:r>
            <w:r>
              <w:rPr>
                <w:lang w:val="ru-RU"/>
              </w:rPr>
              <w:t xml:space="preserve">                          </w:t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Принуждение для участия 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    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Вероятно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Описание возможной пользы для пациента в ходе исследования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lastRenderedPageBreak/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да</w:t>
            </w:r>
            <w:r>
              <w:t xml:space="preserve">  </w:t>
            </w:r>
            <w:r>
              <w:rPr>
                <w:lang w:val="ru-RU"/>
              </w:rPr>
              <w:t xml:space="preserve">                         </w:t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lastRenderedPageBreak/>
              <w:t>Комментарии</w:t>
            </w:r>
            <w:r>
              <w:t>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Описание возможности получения медицинской и психологической помощи в случае необходимости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b/>
                <w:bCs/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да</w:t>
            </w:r>
            <w:r>
              <w:t xml:space="preserve">  </w:t>
            </w:r>
            <w:r>
              <w:rPr>
                <w:lang w:val="ru-RU"/>
              </w:rPr>
              <w:t xml:space="preserve">                         </w:t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Медицинская помощь при повреждениях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 w:rsidRPr="00BA7F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</w:t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                        </w:t>
            </w:r>
            <w:r>
              <w:sym w:font="Webdings" w:char="F063"/>
            </w:r>
            <w:r w:rsidRPr="00BA7F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Наличие информации о спонсоре исследования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да                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Информация о предоставляемой компенсации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  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Контактные лица для участников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spacing w:before="120" w:after="120"/>
            </w:pPr>
            <w: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Наличие информации о возможности выхода на любой стадии исследования 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spacing w:before="120" w:after="120"/>
              <w:rPr>
                <w:rFonts w:eastAsia="SimSun"/>
                <w:lang w:eastAsia="zh-CN"/>
              </w:rPr>
            </w:pPr>
            <w: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r w:rsidRPr="00BA7F12">
              <w:rPr>
                <w:rFonts w:eastAsia="SimSun"/>
                <w:color w:val="000000"/>
                <w:lang w:eastAsia="zh-CN" w:bidi="ar"/>
              </w:rPr>
              <w:t xml:space="preserve">При использовании вопросников участникам дается </w:t>
            </w:r>
          </w:p>
          <w:p w:rsidR="00B31B07" w:rsidRDefault="00B31B07" w:rsidP="00F94C01">
            <w:r w:rsidRPr="00BA7F12">
              <w:rPr>
                <w:rFonts w:eastAsia="SimSun"/>
                <w:color w:val="000000"/>
                <w:lang w:eastAsia="zh-CN" w:bidi="ar"/>
              </w:rPr>
              <w:t xml:space="preserve">возможность не отвечать на вопросы, на которые </w:t>
            </w:r>
          </w:p>
          <w:p w:rsidR="00B31B07" w:rsidRDefault="00B31B07" w:rsidP="00F94C01">
            <w:r w:rsidRPr="00BA7F12">
              <w:rPr>
                <w:rFonts w:eastAsia="SimSun"/>
                <w:color w:val="000000"/>
                <w:lang w:eastAsia="zh-CN" w:bidi="ar"/>
              </w:rPr>
              <w:t xml:space="preserve">они не хотят отвечать 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Предоставление участнику исследования подписанной копии формы информированного согласия</w:t>
            </w:r>
          </w:p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</w:tbl>
    <w:p w:rsidR="00B31B07" w:rsidRDefault="00B31B07" w:rsidP="00B31B07">
      <w:pPr>
        <w:jc w:val="center"/>
      </w:pPr>
    </w:p>
    <w:p w:rsidR="00847D38" w:rsidRDefault="00847D38">
      <w:pPr>
        <w:spacing w:after="200" w:line="276" w:lineRule="auto"/>
      </w:pPr>
      <w:r>
        <w:br w:type="page"/>
      </w:r>
    </w:p>
    <w:p w:rsidR="00847D38" w:rsidRDefault="00847D38" w:rsidP="00847D38">
      <w:pPr>
        <w:pStyle w:val="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847D38" w:rsidRDefault="00847D38" w:rsidP="00847D3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оценке</w:t>
      </w:r>
    </w:p>
    <w:p w:rsidR="00847D38" w:rsidRDefault="00847D38" w:rsidP="00847D38">
      <w:bookmarkStart w:id="1" w:name="_Toc31459224"/>
      <w:bookmarkStart w:id="2" w:name="_Toc31459281"/>
    </w:p>
    <w:p w:rsidR="00847D38" w:rsidRDefault="00847D38" w:rsidP="00847D38">
      <w:r>
        <w:t xml:space="preserve"> </w:t>
      </w:r>
      <w:proofErr w:type="gramStart"/>
      <w:r>
        <w:t>Дата  (</w:t>
      </w:r>
      <w:proofErr w:type="gramEnd"/>
      <w:r>
        <w:t>Д/M/Г):</w:t>
      </w:r>
      <w:bookmarkEnd w:id="1"/>
      <w:bookmarkEnd w:id="2"/>
      <w:r>
        <w:rPr>
          <w:b/>
          <w:bCs/>
        </w:rPr>
        <w:t>_________________</w:t>
      </w:r>
      <w:r>
        <w:rPr>
          <w:b/>
          <w:bCs/>
        </w:rPr>
        <w:tab/>
        <w:t xml:space="preserve">        </w:t>
      </w:r>
      <w:r>
        <w:t>№ Протокола_________________</w:t>
      </w:r>
    </w:p>
    <w:p w:rsidR="00847D38" w:rsidRDefault="00847D38" w:rsidP="00847D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2697"/>
        <w:gridCol w:w="2075"/>
        <w:gridCol w:w="3112"/>
      </w:tblGrid>
      <w:tr w:rsidR="00847D38" w:rsidTr="004108C4">
        <w:trPr>
          <w:trHeight w:val="461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Название</w:t>
            </w:r>
            <w:r>
              <w:t>:</w:t>
            </w:r>
          </w:p>
        </w:tc>
      </w:tr>
      <w:tr w:rsidR="00847D38" w:rsidTr="004108C4">
        <w:trPr>
          <w:trHeight w:val="50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Элементы оценки</w:t>
            </w:r>
            <w:r>
              <w:t xml:space="preserve"> 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 xml:space="preserve">Приложены        </w:t>
            </w:r>
            <w:r>
              <w:sym w:font="Webdings" w:char="F063"/>
            </w:r>
            <w:r>
              <w:rPr>
                <w:lang w:val="ru-RU"/>
              </w:rPr>
              <w:t xml:space="preserve"> Не приложены</w:t>
            </w:r>
          </w:p>
        </w:tc>
      </w:tr>
      <w:tr w:rsidR="00847D38" w:rsidTr="004108C4">
        <w:trPr>
          <w:trHeight w:val="876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pPr>
              <w:numPr>
                <w:ilvl w:val="12"/>
                <w:numId w:val="0"/>
              </w:numPr>
              <w:spacing w:before="120" w:after="120"/>
              <w:jc w:val="both"/>
            </w:pPr>
            <w:r>
              <w:t xml:space="preserve">Оценка повторной заявки </w:t>
            </w:r>
          </w:p>
          <w:p w:rsidR="00847D38" w:rsidRDefault="00847D38" w:rsidP="004108C4">
            <w:pPr>
              <w:numPr>
                <w:ilvl w:val="12"/>
                <w:numId w:val="0"/>
              </w:numPr>
              <w:spacing w:after="120"/>
              <w:jc w:val="both"/>
            </w:pPr>
            <w:r>
              <w:tab/>
            </w:r>
            <w:r>
              <w:sym w:font="Webdings" w:char="F063"/>
            </w:r>
            <w:r>
              <w:t xml:space="preserve">  Да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 Нет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pPr>
              <w:numPr>
                <w:ilvl w:val="12"/>
                <w:numId w:val="0"/>
              </w:numPr>
              <w:spacing w:before="120" w:after="120"/>
              <w:jc w:val="both"/>
            </w:pPr>
            <w:r>
              <w:t>Дата предыдущего рассмотрения:</w:t>
            </w:r>
          </w:p>
        </w:tc>
      </w:tr>
      <w:tr w:rsidR="00847D38" w:rsidTr="004108C4">
        <w:trPr>
          <w:trHeight w:val="89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pPr>
              <w:pStyle w:val="11"/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Решение</w:t>
            </w:r>
            <w:r>
              <w:rPr>
                <w:rFonts w:cs="Times New Roman"/>
              </w:rPr>
              <w:t>: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Разрешить </w:t>
            </w:r>
            <w:r>
              <w:rPr>
                <w:lang w:val="ru-RU"/>
              </w:rPr>
              <w:tab/>
              <w:t xml:space="preserve">    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Разрешить</w:t>
            </w:r>
            <w:proofErr w:type="spellEnd"/>
            <w:r>
              <w:rPr>
                <w:lang w:val="ru-RU"/>
              </w:rPr>
              <w:t xml:space="preserve"> с комментариями</w:t>
            </w:r>
            <w:r>
              <w:rPr>
                <w:lang w:val="ru-RU"/>
              </w:rPr>
              <w:tab/>
              <w:t xml:space="preserve">      </w:t>
            </w:r>
          </w:p>
          <w:p w:rsidR="00847D38" w:rsidRDefault="00847D38" w:rsidP="004108C4">
            <w:pPr>
              <w:pStyle w:val="11"/>
              <w:spacing w:before="120" w:after="12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sym w:font="Webdings" w:char="F063"/>
            </w:r>
            <w:r>
              <w:rPr>
                <w:rFonts w:cs="Times New Roman"/>
                <w:lang w:val="ru-RU"/>
              </w:rPr>
              <w:t xml:space="preserve"> Подать повторно    </w:t>
            </w:r>
            <w:r>
              <w:rPr>
                <w:rFonts w:cs="Times New Roman"/>
                <w:lang w:val="ru-RU"/>
              </w:rPr>
              <w:tab/>
            </w:r>
            <w:r>
              <w:rPr>
                <w:rFonts w:cs="Times New Roman"/>
              </w:rPr>
              <w:sym w:font="Webdings" w:char="F063"/>
            </w:r>
            <w:r>
              <w:rPr>
                <w:rFonts w:cs="Times New Roman"/>
                <w:lang w:val="ru-RU"/>
              </w:rPr>
              <w:t xml:space="preserve">  Не разрешить</w:t>
            </w:r>
          </w:p>
        </w:tc>
      </w:tr>
      <w:tr w:rsidR="00847D38" w:rsidTr="004108C4">
        <w:trPr>
          <w:trHeight w:val="3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r>
              <w:t>Комментарии: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/>
        </w:tc>
      </w:tr>
      <w:tr w:rsidR="00847D38" w:rsidTr="004108C4">
        <w:trPr>
          <w:trHeight w:val="55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r>
              <w:t xml:space="preserve">Подпись: 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/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8" w:rsidRDefault="00847D38" w:rsidP="004108C4">
            <w:r>
              <w:t>Дата:</w:t>
            </w:r>
          </w:p>
        </w:tc>
      </w:tr>
    </w:tbl>
    <w:p w:rsidR="00847D38" w:rsidRDefault="00847D38" w:rsidP="00847D38"/>
    <w:p w:rsidR="00476553" w:rsidRDefault="00476553">
      <w:bookmarkStart w:id="3" w:name="_GoBack"/>
      <w:bookmarkEnd w:id="3"/>
    </w:p>
    <w:sectPr w:rsidR="0047655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35" w:rsidRDefault="008F4435" w:rsidP="00B31B07">
      <w:r>
        <w:separator/>
      </w:r>
    </w:p>
  </w:endnote>
  <w:endnote w:type="continuationSeparator" w:id="0">
    <w:p w:rsidR="008F4435" w:rsidRDefault="008F4435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35" w:rsidRDefault="008F4435" w:rsidP="00B31B07">
      <w:r>
        <w:separator/>
      </w:r>
    </w:p>
  </w:footnote>
  <w:footnote w:type="continuationSeparator" w:id="0">
    <w:p w:rsidR="008F4435" w:rsidRDefault="008F4435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0" w:type="dxa"/>
      <w:tblInd w:w="5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40"/>
      <w:gridCol w:w="1776"/>
      <w:gridCol w:w="3264"/>
    </w:tblGrid>
    <w:tr w:rsidR="00B31B07" w:rsidTr="00B31B07">
      <w:trPr>
        <w:trHeight w:val="993"/>
      </w:trPr>
      <w:tc>
        <w:tcPr>
          <w:tcW w:w="4340" w:type="dxa"/>
        </w:tcPr>
        <w:p w:rsidR="00B31B07" w:rsidRDefault="00B31B07" w:rsidP="00F94C01">
          <w:pPr>
            <w:pStyle w:val="a3"/>
            <w:rPr>
              <w:sz w:val="28"/>
            </w:rPr>
          </w:pPr>
          <w:r>
            <w:rPr>
              <w:sz w:val="28"/>
            </w:rPr>
            <w:t>Форма оценки исследования</w:t>
          </w:r>
        </w:p>
      </w:tc>
      <w:tc>
        <w:tcPr>
          <w:tcW w:w="1776" w:type="dxa"/>
        </w:tcPr>
        <w:p w:rsidR="00B31B07" w:rsidRDefault="00B31B07" w:rsidP="00F94C01">
          <w:pPr>
            <w:pStyle w:val="4"/>
            <w:rPr>
              <w:b w:val="0"/>
              <w:bCs w:val="0"/>
            </w:rPr>
          </w:pPr>
          <w:r>
            <w:rPr>
              <w:bCs w:val="0"/>
              <w:noProof/>
            </w:rPr>
            <w:drawing>
              <wp:anchor distT="0" distB="0" distL="114300" distR="114300" simplePos="0" relativeHeight="251659264" behindDoc="1" locked="0" layoutInCell="1" allowOverlap="1" wp14:anchorId="464462DE" wp14:editId="4891C2C1">
                <wp:simplePos x="0" y="0"/>
                <wp:positionH relativeFrom="column">
                  <wp:posOffset>158115</wp:posOffset>
                </wp:positionH>
                <wp:positionV relativeFrom="paragraph">
                  <wp:posOffset>-218440</wp:posOffset>
                </wp:positionV>
                <wp:extent cx="861695" cy="575945"/>
                <wp:effectExtent l="0" t="0" r="0" b="0"/>
                <wp:wrapThrough wrapText="bothSides">
                  <wp:wrapPolygon edited="0">
                    <wp:start x="7163" y="0"/>
                    <wp:lineTo x="3820" y="2143"/>
                    <wp:lineTo x="478" y="8573"/>
                    <wp:lineTo x="478" y="15003"/>
                    <wp:lineTo x="5253" y="20004"/>
                    <wp:lineTo x="7163" y="20719"/>
                    <wp:lineTo x="14326" y="20719"/>
                    <wp:lineTo x="16236" y="20004"/>
                    <wp:lineTo x="21011" y="15003"/>
                    <wp:lineTo x="21011" y="8573"/>
                    <wp:lineTo x="17668" y="2143"/>
                    <wp:lineTo x="14326" y="0"/>
                    <wp:lineTo x="7163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4" w:type="dxa"/>
        </w:tcPr>
        <w:p w:rsidR="00B31B07" w:rsidRDefault="00B31B07" w:rsidP="00F94C01">
          <w:pPr>
            <w:pStyle w:val="a3"/>
            <w:jc w:val="right"/>
            <w:rPr>
              <w:b/>
              <w:bCs/>
              <w:sz w:val="28"/>
            </w:rPr>
          </w:pPr>
        </w:p>
      </w:tc>
    </w:tr>
  </w:tbl>
  <w:p w:rsidR="00B31B07" w:rsidRDefault="00B31B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07"/>
    <w:rsid w:val="000D1286"/>
    <w:rsid w:val="00476553"/>
    <w:rsid w:val="0057739E"/>
    <w:rsid w:val="005B531D"/>
    <w:rsid w:val="0072043C"/>
    <w:rsid w:val="0077722C"/>
    <w:rsid w:val="00847D38"/>
    <w:rsid w:val="008C6156"/>
    <w:rsid w:val="008F4435"/>
    <w:rsid w:val="00B31B07"/>
    <w:rsid w:val="00E87F63"/>
    <w:rsid w:val="00EE06D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A6455-4E7B-4FEC-8E7E-DB3F6ADB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B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B07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paragraph" w:customStyle="1" w:styleId="Level1">
    <w:name w:val="Level 1"/>
    <w:rsid w:val="00B31B07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unhideWhenUsed/>
    <w:qFormat/>
    <w:rsid w:val="00B31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1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1B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1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semiHidden/>
    <w:unhideWhenUsed/>
    <w:rsid w:val="00847D38"/>
    <w:pPr>
      <w:spacing w:before="60" w:after="60"/>
    </w:pPr>
    <w:rPr>
      <w:rFonts w:cs="Angsana New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Қуаныш Жұлдыз</cp:lastModifiedBy>
  <cp:revision>2</cp:revision>
  <dcterms:created xsi:type="dcterms:W3CDTF">2022-10-17T08:17:00Z</dcterms:created>
  <dcterms:modified xsi:type="dcterms:W3CDTF">2022-12-28T08:57:00Z</dcterms:modified>
</cp:coreProperties>
</file>